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16 133 vom 18. November 2016</w:t>
      </w:r>
    </w:p>
    <w:p>
      <w:r>
        <w:t>VS Kantonsgericht, 2016-11-18, DE</w:t>
      </w:r>
    </w:p>
    <w:p>
      <w:r>
        <w:rPr>
          <w:b/>
        </w:rPr>
        <w:t xml:space="preserve">Quelle: </w:t>
      </w:r>
      <w:r>
        <w:t>https://mcp.opencaselaw.ch/entscheid/vs_gerichte_A1 16 133</w:t>
      </w:r>
    </w:p>
    <w:p>
      <w:r>
        <w:t>FR: VS_GERICHTE A1 16 133 du 18 novembre 2016</w:t>
      </w:r>
    </w:p>
    <w:p>
      <w:r>
        <w:t>IT: VS_GERICHTE A1 16 133 del 18 novembre 2016</w:t>
      </w:r>
    </w:p>
    <w:p>
      <w:pPr>
        <w:pStyle w:val="Heading2"/>
      </w:pPr>
      <w:r>
        <w:t>Regeste</w:t>
      </w:r>
    </w:p>
    <w:p>
      <w:r>
        <w:t>A1 16 133 A1 16 136 URTEIL VOM 18. NOVEMBER 2016 Kantonsgericht Wallis Öffentlichrechtliche Abteilung Es wirken mit: Thomas Brunner, Präsident, Jean-Bernard Fournier und Christophe Joris, Richter, sowie Vanessa Brigger, Gerichtsschreiberin, in Sachen X_________, und Y_________, vertreten durch M_________ und N_________ und BUNDESAMT FÜR UMWELT BAFU, Abteilung Recht, vertreten durch Herrn O_________ gegen STAATSRAT DES KANTONS WALLIS (Jagd- und Fischereiwesen, Abschussbewilligung Wolf)</w:t>
      </w:r>
    </w:p>
    <w:p>
      <w:pPr>
        <w:pStyle w:val="Heading2"/>
      </w:pPr>
      <w:r>
        <w:t>Erwägungen</w:t>
      </w:r>
    </w:p>
    <w:p>
      <w:r>
        <w:rPr>
          <w:b/>
        </w:rPr>
        <w:t>E. 1</w:t>
      </w:r>
    </w:p>
    <w:p>
      <w:r>
        <w:t>seien nach Art. 12 des Bundesgesetzes über den Natur- und Hei- matschutz vom 1. Juli 1966 (NHG; SR 451) beschwerdeberechtigt - das Kantonsgericht habe bereits im Jahr 2004 entschieden, dass die</w:t>
      </w:r>
    </w:p>
    <w:p>
      <w:r>
        <w:t>54 RVJ / ZWR 2017 Bewilligung zum Abschuss eines Wolfes der ideellen Verbands- beschwerde unterliege - es bestehe jedoch kein aktuelles praktisches Interesse mehr an der Beurteilung der Beschwerden, welches gemäss Art. 44 Abs. 1 lit. a VVRG verlangt werde. Hingegen kann der Ein- schätzung der Vorinstanz, die Voraussetzungen zum Verzicht auf das aktuelle praktische Interesse seien nicht gegeben, aus den oben genannten Gründen nicht zugestimmt werden; der Staatsrat hätte die Verwaltungsbeschwerden trotz des weggefallenen aktuellen prak- tischen Interesses materiell beurteilen müssen. Der Staatsrat hat den beschwerdeführenden Parteien zu Unrecht die Beschwerdeberechti- gung gemäss Art. 44 VVRG abgesprochen und verletzt damit auch Art. 29 der Bundesverfassung der Schweizerischen Eidgenossen- schaft vom 18. April 1999 (BV; SR 101). Der angefochtene Entscheid ist bereits aus diesem Grund aufzuheben, eine allfällige Verletzung von Art. 29a BV muss nicht näher geprüft werden und es kann offen bleiben, ob zudem ein Verstoss gegen Art. 111 des Bundesgesetz über das Bundesgericht vom 17. Juni 2005 (Bundesgerichtsgesetz, BGG; SR 173.110)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